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140"/>
        <w:gridCol w:w="2128"/>
        <w:gridCol w:w="1556"/>
        <w:gridCol w:w="1561"/>
        <w:gridCol w:w="991"/>
        <w:tblGridChange w:id="0">
          <w:tblGrid>
            <w:gridCol w:w="3120"/>
            <w:gridCol w:w="1419"/>
            <w:gridCol w:w="140"/>
            <w:gridCol w:w="2128"/>
            <w:gridCol w:w="1556"/>
            <w:gridCol w:w="1561"/>
            <w:gridCol w:w="991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25/05/2026</w:t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5433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CASTRO VALENZUELA JEISON 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1.111.741.478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CR 42 2 61 BRR DEPARTAMENTAL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jeisoncastrovalenzuela@gmail.com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3187508849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4162.010.26.1.1232-2026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3500263378 - 3500255999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4500408731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11.355.000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ONCE MILLONES TRESCIENTOS CINCUENTA Y CINCO MIL PESOS M/CTE</w:t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HA3hIl7lmVHBfW9wJjqlhxmH9g==">CgMxLjA4AHIhMUJaWFZwOG9Qa280Y3pPdDNGSnZMd0FRVW04THpFc2ZT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